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C" w:rsidRPr="00341691" w:rsidRDefault="001648D0" w:rsidP="00341691">
      <w:pPr>
        <w:pStyle w:val="Tytu"/>
        <w:tabs>
          <w:tab w:val="left" w:pos="13020"/>
        </w:tabs>
        <w:spacing w:before="0"/>
        <w:ind w:left="4956" w:firstLine="708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Plan kontroli na 2023 r</w:t>
      </w:r>
      <w:r w:rsidR="00453FFC" w:rsidRPr="00341691">
        <w:rPr>
          <w:rFonts w:cstheme="minorHAnsi"/>
          <w:b/>
          <w:sz w:val="22"/>
          <w:szCs w:val="22"/>
        </w:rPr>
        <w:t xml:space="preserve">.                       </w:t>
      </w:r>
    </w:p>
    <w:p w:rsidR="00453FFC" w:rsidRPr="00341691" w:rsidRDefault="00453FFC" w:rsidP="00341691">
      <w:pPr>
        <w:pStyle w:val="Nagwek2"/>
        <w:rPr>
          <w:rFonts w:cstheme="minorHAnsi"/>
        </w:rPr>
      </w:pPr>
      <w:r w:rsidRPr="00341691">
        <w:rPr>
          <w:rFonts w:cstheme="minorHAnsi"/>
        </w:rPr>
        <w:t>do przeprowadzenia przez Powiatowe centrum pomocy rodzinie w opatowie</w:t>
      </w:r>
    </w:p>
    <w:p w:rsidR="00453FFC" w:rsidRPr="00341691" w:rsidRDefault="00453FFC" w:rsidP="00341691">
      <w:pPr>
        <w:pStyle w:val="Cytatintensywny"/>
        <w:rPr>
          <w:rFonts w:cstheme="minorHAnsi"/>
          <w:sz w:val="22"/>
          <w:szCs w:val="22"/>
        </w:rPr>
      </w:pPr>
      <w:r w:rsidRPr="00341691">
        <w:rPr>
          <w:rFonts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realizowanych przez organ jakim jest </w:t>
      </w:r>
      <w:r w:rsidR="003B69AF">
        <w:rPr>
          <w:rFonts w:cstheme="minorHAnsi"/>
          <w:b/>
          <w:color w:val="FF000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Zarząd Powiatu w Opatowie, Starosta</w:t>
      </w:r>
      <w:bookmarkStart w:id="0" w:name="_GoBack"/>
      <w:bookmarkEnd w:id="0"/>
      <w:r w:rsidR="003B69AF">
        <w:rPr>
          <w:rFonts w:cstheme="minorHAnsi"/>
          <w:b/>
          <w:color w:val="FF000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Opatowski</w:t>
      </w:r>
    </w:p>
    <w:p w:rsidR="00453FFC" w:rsidRPr="00341691" w:rsidRDefault="00453FFC" w:rsidP="00341691">
      <w:pPr>
        <w:spacing w:before="0" w:after="0"/>
        <w:rPr>
          <w:rFonts w:cstheme="minorHAnsi"/>
          <w:sz w:val="22"/>
          <w:szCs w:val="22"/>
        </w:rPr>
      </w:pPr>
    </w:p>
    <w:tbl>
      <w:tblPr>
        <w:tblStyle w:val="Jasnecieniowanieakcent1"/>
        <w:tblW w:w="15109" w:type="dxa"/>
        <w:tblInd w:w="0" w:type="dxa"/>
        <w:tblLook w:val="04A0" w:firstRow="1" w:lastRow="0" w:firstColumn="1" w:lastColumn="0" w:noHBand="0" w:noVBand="1"/>
      </w:tblPr>
      <w:tblGrid>
        <w:gridCol w:w="526"/>
        <w:gridCol w:w="5081"/>
        <w:gridCol w:w="4792"/>
        <w:gridCol w:w="1337"/>
        <w:gridCol w:w="1840"/>
        <w:gridCol w:w="1533"/>
      </w:tblGrid>
      <w:tr w:rsidR="00453FFC" w:rsidRPr="00341691" w:rsidTr="00453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453FFC" w:rsidP="00341691">
            <w:pPr>
              <w:spacing w:beforeAutospacing="0" w:after="0" w:afterAutospacing="0"/>
              <w:jc w:val="center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Lp.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453FFC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Temat kontroli</w:t>
            </w:r>
          </w:p>
          <w:p w:rsidR="00453FFC" w:rsidRPr="00341691" w:rsidRDefault="00525B03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Podstawa prawna kontroli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453FFC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Nazwa jednostki kontrolowanej </w:t>
            </w:r>
          </w:p>
          <w:p w:rsidR="00453FFC" w:rsidRPr="00341691" w:rsidRDefault="00453FFC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453FFC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Termin kontroli</w:t>
            </w:r>
          </w:p>
          <w:p w:rsidR="00453FFC" w:rsidRPr="00341691" w:rsidRDefault="00453FFC" w:rsidP="00341691">
            <w:pPr>
              <w:spacing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[kwartalnie]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1174A3" w:rsidP="00043C1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Przedmiot i</w:t>
            </w:r>
            <w:r w:rsidR="00043C14">
              <w:rPr>
                <w:rFonts w:cstheme="minorHAnsi"/>
                <w:sz w:val="22"/>
                <w:szCs w:val="22"/>
              </w:rPr>
              <w:t> </w:t>
            </w:r>
            <w:r w:rsidRPr="00341691">
              <w:rPr>
                <w:rFonts w:cstheme="minorHAnsi"/>
                <w:sz w:val="22"/>
                <w:szCs w:val="22"/>
              </w:rPr>
              <w:t>rodzaj</w:t>
            </w:r>
            <w:r w:rsidR="009924C1" w:rsidRPr="00341691">
              <w:rPr>
                <w:rFonts w:cstheme="minorHAnsi"/>
                <w:sz w:val="22"/>
                <w:szCs w:val="22"/>
              </w:rPr>
              <w:t xml:space="preserve"> </w:t>
            </w:r>
            <w:r w:rsidR="00453FFC" w:rsidRPr="00341691">
              <w:rPr>
                <w:rFonts w:cstheme="minorHAnsi"/>
                <w:sz w:val="22"/>
                <w:szCs w:val="22"/>
              </w:rPr>
              <w:t>kontroli</w:t>
            </w:r>
            <w:r w:rsidR="00453FFC" w:rsidRPr="00341691">
              <w:rPr>
                <w:rStyle w:val="Odwoanieprzypisudolnego"/>
                <w:rFonts w:cstheme="minorHAnsi"/>
                <w:sz w:val="22"/>
                <w:szCs w:val="22"/>
              </w:rPr>
              <w:footnoteReference w:id="1"/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vAlign w:val="center"/>
            <w:hideMark/>
          </w:tcPr>
          <w:p w:rsidR="00453FFC" w:rsidRPr="00341691" w:rsidRDefault="00453FFC" w:rsidP="0034169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Uwagi</w:t>
            </w:r>
            <w:r w:rsidRPr="00341691">
              <w:rPr>
                <w:rStyle w:val="Odwoanieprzypisudolnego"/>
                <w:rFonts w:cstheme="minorHAnsi"/>
                <w:sz w:val="22"/>
                <w:szCs w:val="22"/>
              </w:rPr>
              <w:footnoteReference w:id="2"/>
            </w:r>
            <w:r w:rsidR="001174A3" w:rsidRPr="00341691">
              <w:rPr>
                <w:rFonts w:cstheme="minorHAnsi"/>
                <w:sz w:val="22"/>
                <w:szCs w:val="22"/>
              </w:rPr>
              <w:t>/inne informacje wymagane przepisami prawa</w:t>
            </w:r>
          </w:p>
        </w:tc>
      </w:tr>
      <w:tr w:rsidR="00453FFC" w:rsidRPr="00341691" w:rsidTr="0045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warsztatu terapii zajęciowej - zgodnie z</w:t>
            </w:r>
            <w:r w:rsidRPr="00341691">
              <w:rPr>
                <w:rFonts w:eastAsia="Calibri" w:cstheme="minorHAnsi"/>
                <w:sz w:val="22"/>
                <w:szCs w:val="22"/>
              </w:rPr>
              <w:t xml:space="preserve"> §22 Rozporządzenia Ministra Gospodarki, Pracy i Polityki Społecznej z dnia 25 marca 2004 r. w sprawie warsztatów terapii zajęciowej, w nawiązaniu do art. 35 ust. 2 ustawy z dnia 5 czerwca 1998 r. o samorządzie powiatowym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Warsztat Terapii Zajęciowej Nr 1 w Opatowie przy Domu Pomocy Społecznej w Zochcinku 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III/IV 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Kompleksowa 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453FFC" w:rsidRPr="00341691" w:rsidRDefault="00453FFC" w:rsidP="0034169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3FFC" w:rsidRPr="00341691" w:rsidTr="0045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warsztatu terapii zajęciowej - zgodnie z</w:t>
            </w:r>
            <w:r w:rsidRPr="00341691">
              <w:rPr>
                <w:rFonts w:eastAsia="Calibri" w:cstheme="minorHAnsi"/>
                <w:sz w:val="22"/>
                <w:szCs w:val="22"/>
              </w:rPr>
              <w:t xml:space="preserve"> §22 Rozporządzenia Ministra Gospodarki, Pracy i Polityki Społecznej z dnia 25 marca 2004 r. w sprawie warsztatów terapii zajęciowej, w nawiązaniu do art. 35 ust. 2 ustawy z dnia 5 czerwca 1998 r. o samorządzie powiatowym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Warsztat Terapii Zajęciowej Nr 2 w Opatowie przy Domu Pomocy Społecznej w Zochcinku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</w:tc>
      </w:tr>
      <w:tr w:rsidR="00453FFC" w:rsidRPr="00341691" w:rsidTr="0045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warsztatu terapii zajęciowej - zgodnie z</w:t>
            </w:r>
            <w:r w:rsidRPr="00341691">
              <w:rPr>
                <w:rFonts w:eastAsia="Calibri" w:cstheme="minorHAnsi"/>
                <w:sz w:val="22"/>
                <w:szCs w:val="22"/>
              </w:rPr>
              <w:t xml:space="preserve"> §22 Rozporządzenia Ministra Gospodarki, Pracy i Polityki Społecznej z dnia 25 marca 2004 r. w sprawie warsztatów terapii zajęciowej, w nawiązaniu do art. 35 ust. 2 ustawy z dnia 5 czerwca 1998 r. o samorządzie powiatowym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Warsztat Terapii Zajęciowej w Sobowie przy Domu Pomocy Społecznej w Sobowie z Filią w Suchodółce 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</w:tc>
      </w:tr>
      <w:tr w:rsidR="00453FFC" w:rsidRPr="00341691" w:rsidTr="00453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warsztatu terapii zajęciowej - zgodnie z</w:t>
            </w:r>
            <w:r w:rsidRPr="00341691">
              <w:rPr>
                <w:rFonts w:eastAsia="Calibri" w:cstheme="minorHAnsi"/>
                <w:sz w:val="22"/>
                <w:szCs w:val="22"/>
              </w:rPr>
              <w:t xml:space="preserve"> §22 Rozporządzenia Ministra Gospodarki, Pracy i Polityki Społecznej z dnia 25 marca 2004 r. w sprawie warsztatów terapii zajęciowej, w nawiązaniu do art. 35 ust. 2 ustawy z dnia 5 czerwca 1998 r. o samorządzie powiatowym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Warsztat Terapii Zajęciowej w Bidzinach z Filią w Stodołach - Koloniach przy Stowarzyszeniu Akademia Pomysłu z siedzibą w Bidzinach 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</w:tc>
      </w:tr>
      <w:tr w:rsidR="00453FFC" w:rsidRPr="00341691" w:rsidTr="0045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warsztatu terapii zajęciowej - zgodnie z</w:t>
            </w:r>
            <w:r w:rsidRPr="00341691">
              <w:rPr>
                <w:rFonts w:eastAsia="Calibri" w:cstheme="minorHAnsi"/>
                <w:sz w:val="22"/>
                <w:szCs w:val="22"/>
              </w:rPr>
              <w:t xml:space="preserve"> §22 Rozporządzenia Ministra Gospodarki, Pracy i Polityki Społecznej z dnia 25 marca 2004 r. w sprawie warsztatów terapii zajęciowej, w nawiązaniu do art. 35 ust. 2 ustawy z dnia 5 czerwca 1998 r. o samorządzie powiatowym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 xml:space="preserve">Warsztat Terapii Zajęciowej w </w:t>
            </w:r>
            <w:proofErr w:type="spellStart"/>
            <w:r w:rsidRPr="00341691">
              <w:rPr>
                <w:rFonts w:cstheme="minorHAnsi"/>
                <w:sz w:val="22"/>
                <w:szCs w:val="22"/>
              </w:rPr>
              <w:t>Czekarzewicach</w:t>
            </w:r>
            <w:proofErr w:type="spellEnd"/>
            <w:r w:rsidRPr="00341691">
              <w:rPr>
                <w:rFonts w:cstheme="minorHAnsi"/>
                <w:sz w:val="22"/>
                <w:szCs w:val="22"/>
              </w:rPr>
              <w:t xml:space="preserve"> Drugich przy Lokalnej Grupie Działania Powiatu Opatowskiego w Opatowie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III/IV</w:t>
            </w:r>
          </w:p>
          <w:p w:rsidR="00453FFC" w:rsidRPr="00341691" w:rsidRDefault="00453FFC" w:rsidP="00341691">
            <w:pPr>
              <w:tabs>
                <w:tab w:val="left" w:pos="915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53FFC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hideMark/>
          </w:tcPr>
          <w:p w:rsidR="004B1915" w:rsidRPr="00341691" w:rsidRDefault="00453FFC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  <w:p w:rsidR="004B1915" w:rsidRPr="00341691" w:rsidRDefault="004B1915" w:rsidP="0034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4B1915" w:rsidRPr="00341691" w:rsidRDefault="004B1915" w:rsidP="00341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  <w:p w:rsidR="00453FFC" w:rsidRPr="00341691" w:rsidRDefault="00453FFC" w:rsidP="003416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B1915" w:rsidRPr="00341691" w:rsidTr="00453F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4B1915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1D2900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ośrodka wsparcia – zgodnie z art. 112 ust. 8 ustawy z dnia 12 marca 2004 r. o pomocy społecznej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Dzienny Dom „Senior-WIGOR” w Opatowie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B6A73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  <w:p w:rsidR="004B1915" w:rsidRPr="00341691" w:rsidRDefault="004B1915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B1915" w:rsidRPr="00341691" w:rsidTr="00453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4B1915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ośrodka wsparcia – zgodnie z art. 112 ust. 8 ustawy z dnia 12 marca 2004 r. o pomocy społecznej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Dzienny Dom „Senior+” w Stodołach</w:t>
            </w:r>
            <w:r w:rsidR="00C96D4C" w:rsidRPr="00341691">
              <w:rPr>
                <w:rFonts w:cstheme="minorHAnsi"/>
                <w:sz w:val="22"/>
                <w:szCs w:val="22"/>
              </w:rPr>
              <w:t>-</w:t>
            </w:r>
            <w:r w:rsidRPr="00341691">
              <w:rPr>
                <w:rFonts w:cstheme="minorHAnsi"/>
                <w:sz w:val="22"/>
                <w:szCs w:val="22"/>
              </w:rPr>
              <w:t>Koloniach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B6A73" w:rsidRPr="00341691" w:rsidRDefault="00AB6A73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  <w:p w:rsidR="004B1915" w:rsidRPr="00341691" w:rsidRDefault="004B1915" w:rsidP="0034169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B1915" w:rsidRPr="00341691" w:rsidTr="00453F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4B1915" w:rsidP="00341691">
            <w:pPr>
              <w:spacing w:after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511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Kontrola działalności ośrodka wsparcia – zgodnie z art. 112 ust. 8 ustawy z dnia 12 marca 2004 r. o pomocy społecznej</w:t>
            </w:r>
          </w:p>
        </w:tc>
        <w:tc>
          <w:tcPr>
            <w:tcW w:w="4819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Klub „Senior+” w Ożarowie</w:t>
            </w:r>
          </w:p>
        </w:tc>
        <w:tc>
          <w:tcPr>
            <w:tcW w:w="127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II/IV</w:t>
            </w:r>
          </w:p>
        </w:tc>
        <w:tc>
          <w:tcPr>
            <w:tcW w:w="1843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4B1915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Kompleksowa</w:t>
            </w:r>
          </w:p>
        </w:tc>
        <w:tc>
          <w:tcPr>
            <w:tcW w:w="1535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</w:tcPr>
          <w:p w:rsidR="00AB6A73" w:rsidRPr="00341691" w:rsidRDefault="00AB6A73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341691">
              <w:rPr>
                <w:rFonts w:cstheme="minorHAnsi"/>
                <w:sz w:val="22"/>
                <w:szCs w:val="22"/>
              </w:rPr>
              <w:t>______</w:t>
            </w:r>
          </w:p>
          <w:p w:rsidR="004B1915" w:rsidRPr="00341691" w:rsidRDefault="004B1915" w:rsidP="0034169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:rsidR="00453FFC" w:rsidRPr="00341691" w:rsidRDefault="00453FFC" w:rsidP="00341691">
      <w:pPr>
        <w:rPr>
          <w:rFonts w:cstheme="minorHAnsi"/>
          <w:sz w:val="22"/>
          <w:szCs w:val="22"/>
        </w:rPr>
      </w:pPr>
      <w:r w:rsidRPr="00341691">
        <w:rPr>
          <w:rFonts w:cstheme="minorHAnsi"/>
          <w:sz w:val="22"/>
          <w:szCs w:val="22"/>
        </w:rPr>
        <w:t xml:space="preserve">Zatwierdził: </w:t>
      </w:r>
      <w:r w:rsidRPr="00341691">
        <w:rPr>
          <w:rFonts w:cstheme="minorHAnsi"/>
          <w:sz w:val="22"/>
          <w:szCs w:val="22"/>
        </w:rPr>
        <w:tab/>
        <w:t xml:space="preserve">Katarzyna </w:t>
      </w:r>
      <w:proofErr w:type="spellStart"/>
      <w:r w:rsidRPr="00341691">
        <w:rPr>
          <w:rFonts w:cstheme="minorHAnsi"/>
          <w:sz w:val="22"/>
          <w:szCs w:val="22"/>
        </w:rPr>
        <w:t>Ambryszewska</w:t>
      </w:r>
      <w:proofErr w:type="spellEnd"/>
    </w:p>
    <w:p w:rsidR="00F365C4" w:rsidRPr="00341691" w:rsidRDefault="00F365C4" w:rsidP="00341691">
      <w:pPr>
        <w:rPr>
          <w:rFonts w:cstheme="minorHAnsi"/>
          <w:sz w:val="22"/>
          <w:szCs w:val="22"/>
        </w:rPr>
      </w:pPr>
    </w:p>
    <w:sectPr w:rsidR="00F365C4" w:rsidRPr="00341691" w:rsidSect="00453FF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FC" w:rsidRDefault="00453FFC" w:rsidP="00453FFC">
      <w:pPr>
        <w:spacing w:before="0" w:after="0" w:line="240" w:lineRule="auto"/>
      </w:pPr>
      <w:r>
        <w:separator/>
      </w:r>
    </w:p>
  </w:endnote>
  <w:endnote w:type="continuationSeparator" w:id="0">
    <w:p w:rsidR="00453FFC" w:rsidRDefault="00453FFC" w:rsidP="00453F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FC" w:rsidRDefault="00453FFC" w:rsidP="00453FFC">
      <w:pPr>
        <w:spacing w:before="0" w:after="0" w:line="240" w:lineRule="auto"/>
      </w:pPr>
      <w:r>
        <w:separator/>
      </w:r>
    </w:p>
  </w:footnote>
  <w:footnote w:type="continuationSeparator" w:id="0">
    <w:p w:rsidR="00453FFC" w:rsidRDefault="00453FFC" w:rsidP="00453FFC">
      <w:pPr>
        <w:spacing w:before="0" w:after="0" w:line="240" w:lineRule="auto"/>
      </w:pPr>
      <w:r>
        <w:continuationSeparator/>
      </w:r>
    </w:p>
  </w:footnote>
  <w:footnote w:id="1">
    <w:p w:rsidR="00453FFC" w:rsidRDefault="00453FFC" w:rsidP="00453FFC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sz w:val="16"/>
          <w:szCs w:val="18"/>
        </w:rPr>
        <w:t>Kompleksowa</w:t>
      </w:r>
      <w:r>
        <w:rPr>
          <w:rFonts w:ascii="Arial Narrow" w:hAnsi="Arial Narrow"/>
          <w:sz w:val="16"/>
          <w:szCs w:val="18"/>
        </w:rPr>
        <w:t xml:space="preserve"> – obejmuje całą działalność podmiotu kontrolowanego</w:t>
      </w:r>
    </w:p>
    <w:p w:rsidR="00453FFC" w:rsidRDefault="00453FFC" w:rsidP="00453FFC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sz w:val="16"/>
          <w:szCs w:val="18"/>
        </w:rPr>
        <w:t xml:space="preserve">Problemowa </w:t>
      </w:r>
      <w:r>
        <w:rPr>
          <w:rFonts w:ascii="Arial Narrow" w:hAnsi="Arial Narrow"/>
          <w:sz w:val="16"/>
          <w:szCs w:val="18"/>
        </w:rPr>
        <w:t>– obejmuje wybrane zagadnienia z działalności podmiotu kontrolowanego</w:t>
      </w:r>
    </w:p>
    <w:p w:rsidR="00453FFC" w:rsidRDefault="00453FFC" w:rsidP="00453FFC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sz w:val="16"/>
          <w:szCs w:val="18"/>
        </w:rPr>
        <w:t xml:space="preserve">Sprawdzająca </w:t>
      </w:r>
      <w:r>
        <w:rPr>
          <w:rFonts w:ascii="Arial Narrow" w:hAnsi="Arial Narrow"/>
          <w:sz w:val="16"/>
          <w:szCs w:val="18"/>
        </w:rPr>
        <w:t>– obejmuje sprawdzenie sposobu wykorzystania uwag i wykonania wniosków z wcześniejszych kontroli</w:t>
      </w:r>
    </w:p>
    <w:p w:rsidR="00453FFC" w:rsidRDefault="00453FFC" w:rsidP="00453FFC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sz w:val="16"/>
          <w:szCs w:val="18"/>
        </w:rPr>
        <w:t xml:space="preserve">Doraźna </w:t>
      </w:r>
      <w:r>
        <w:rPr>
          <w:rFonts w:ascii="Arial Narrow" w:hAnsi="Arial Narrow"/>
          <w:sz w:val="16"/>
          <w:szCs w:val="18"/>
        </w:rPr>
        <w:t xml:space="preserve">– obejmuje zbadanie zagadnień wskazanych przez zarządzającego kontrolę, podejmowana w przypadku konieczności podjęcia działań niecierpiących zwłoki </w:t>
      </w:r>
    </w:p>
    <w:p w:rsidR="00453FFC" w:rsidRDefault="00453FFC" w:rsidP="00453FFC">
      <w:pPr>
        <w:pStyle w:val="Tekstprzypisudolnego"/>
        <w:rPr>
          <w:rFonts w:ascii="Arial Narrow" w:hAnsi="Arial Narrow"/>
          <w:sz w:val="16"/>
          <w:szCs w:val="18"/>
        </w:rPr>
      </w:pPr>
      <w:r>
        <w:rPr>
          <w:rFonts w:ascii="Arial Narrow" w:hAnsi="Arial Narrow"/>
          <w:b/>
          <w:sz w:val="16"/>
          <w:szCs w:val="18"/>
        </w:rPr>
        <w:t>Koordynowana</w:t>
      </w:r>
      <w:r>
        <w:rPr>
          <w:rFonts w:ascii="Arial Narrow" w:hAnsi="Arial Narrow"/>
          <w:sz w:val="16"/>
          <w:szCs w:val="18"/>
        </w:rPr>
        <w:t xml:space="preserve"> – obejmuje te same zagadnienia w kilku podmiotach kontrolowanych</w:t>
      </w:r>
    </w:p>
  </w:footnote>
  <w:footnote w:id="2">
    <w:p w:rsidR="00453FFC" w:rsidRDefault="00453FFC" w:rsidP="00453F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8"/>
        </w:rPr>
        <w:t>np. przeniesiona z 2021 r., odbywająca się w trybie zdalnym/ zwykłym / uproszczonym / wspólnie z wydziałem 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80" w:rsidRDefault="00D57280">
    <w:pPr>
      <w:pStyle w:val="Nagwek"/>
    </w:pPr>
    <w:r>
      <w:t>PCPR.III.0810.3.2022</w:t>
    </w:r>
    <w:r w:rsidRPr="00D57280">
      <w:rPr>
        <w:rFonts w:cstheme="minorHAnsi"/>
        <w:b/>
        <w:sz w:val="22"/>
        <w:szCs w:val="22"/>
      </w:rPr>
      <w:t xml:space="preserve"> </w:t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>
      <w:rPr>
        <w:rFonts w:cstheme="minorHAnsi"/>
        <w:b/>
        <w:sz w:val="22"/>
        <w:szCs w:val="22"/>
      </w:rPr>
      <w:tab/>
    </w:r>
    <w:r w:rsidRPr="00341691">
      <w:rPr>
        <w:rFonts w:cstheme="minorHAnsi"/>
        <w:b/>
        <w:sz w:val="22"/>
        <w:szCs w:val="22"/>
      </w:rPr>
      <w:t>Opatów,2022-12-21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52"/>
    <w:rsid w:val="00043C14"/>
    <w:rsid w:val="001174A3"/>
    <w:rsid w:val="001648D0"/>
    <w:rsid w:val="001D2900"/>
    <w:rsid w:val="00257EAA"/>
    <w:rsid w:val="0028683A"/>
    <w:rsid w:val="00341691"/>
    <w:rsid w:val="003B69AF"/>
    <w:rsid w:val="00453FFC"/>
    <w:rsid w:val="004B1915"/>
    <w:rsid w:val="00523F27"/>
    <w:rsid w:val="00525B03"/>
    <w:rsid w:val="009924C1"/>
    <w:rsid w:val="00AB6A73"/>
    <w:rsid w:val="00BD7D52"/>
    <w:rsid w:val="00C96D4C"/>
    <w:rsid w:val="00D55392"/>
    <w:rsid w:val="00D56B5F"/>
    <w:rsid w:val="00D57280"/>
    <w:rsid w:val="00DA32C4"/>
    <w:rsid w:val="00E55020"/>
    <w:rsid w:val="00F365C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C28E5-D42A-4E0E-B4C3-C32DC2E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FFC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3FF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53FFC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Tekstprzypisudolnego">
    <w:name w:val="footnote text"/>
    <w:basedOn w:val="Normalny"/>
    <w:link w:val="TekstprzypisudolnegoZnak"/>
    <w:semiHidden/>
    <w:unhideWhenUsed/>
    <w:rsid w:val="00453FF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3FFC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53FFC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53FFC"/>
    <w:rPr>
      <w:rFonts w:eastAsiaTheme="minorEastAsia"/>
      <w:caps/>
      <w:color w:val="5B9BD5" w:themeColor="accent1"/>
      <w:spacing w:val="10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3FFC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3FFC"/>
    <w:rPr>
      <w:rFonts w:eastAsiaTheme="minorEastAsia"/>
      <w:i/>
      <w:iCs/>
      <w:color w:val="5B9BD5" w:themeColor="accent1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53FFC"/>
    <w:rPr>
      <w:vertAlign w:val="superscript"/>
    </w:rPr>
  </w:style>
  <w:style w:type="table" w:styleId="Jasnecieniowanieakcent1">
    <w:name w:val="Light Shading Accent 1"/>
    <w:basedOn w:val="Standardowy"/>
    <w:uiPriority w:val="60"/>
    <w:semiHidden/>
    <w:unhideWhenUsed/>
    <w:rsid w:val="00453FF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96D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D4C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72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28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572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28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20</cp:revision>
  <cp:lastPrinted>2022-12-21T10:52:00Z</cp:lastPrinted>
  <dcterms:created xsi:type="dcterms:W3CDTF">2022-12-16T08:18:00Z</dcterms:created>
  <dcterms:modified xsi:type="dcterms:W3CDTF">2022-12-21T11:26:00Z</dcterms:modified>
</cp:coreProperties>
</file>